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SemiBold" w:hAnsi="IBMPlexSans-SemiBold" w:cs="IBMPlexSans-SemiBold"/>
          <w:b/>
          <w:bCs/>
          <w:sz w:val="24"/>
          <w:szCs w:val="24"/>
        </w:rPr>
      </w:pPr>
      <w:r>
        <w:rPr>
          <w:rFonts w:ascii="IBMPlexSans-SemiBoldItalic" w:hAnsi="IBMPlexSans-SemiBoldItalic" w:cs="IBMPlexSans-SemiBoldItalic"/>
          <w:b/>
          <w:bCs/>
          <w:i/>
          <w:iCs/>
          <w:sz w:val="24"/>
          <w:szCs w:val="24"/>
        </w:rPr>
        <w:t>BASS, DUNCAN v. COMM.</w:t>
      </w:r>
      <w:r>
        <w:rPr>
          <w:rFonts w:ascii="IBMPlexSans-SemiBold" w:hAnsi="IBMPlexSans-SemiBold" w:cs="IBMPlexSans-SemiBold"/>
          <w:b/>
          <w:bCs/>
          <w:sz w:val="24"/>
          <w:szCs w:val="24"/>
        </w:rPr>
        <w:t>, NO. 833-20, TC MEMO 2023-41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SemiBold" w:hAnsi="IBMPlexSans-SemiBold" w:cs="IBMPlexSans-SemiBold"/>
          <w:b/>
          <w:bCs/>
        </w:rPr>
      </w:pPr>
      <w:r>
        <w:rPr>
          <w:rFonts w:ascii="IBMPlexSans-SemiBold" w:hAnsi="IBMPlexSans-SemiBold" w:cs="IBMPlexSans-SemiBold"/>
          <w:b/>
          <w:bCs/>
        </w:rPr>
        <w:t>What Happened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i/>
          <w:iCs/>
          <w:sz w:val="20"/>
          <w:szCs w:val="20"/>
        </w:rPr>
        <w:t>Bass</w:t>
      </w:r>
      <w:r>
        <w:rPr>
          <w:rFonts w:ascii="Arial" w:hAnsi="Arial" w:cs="Arial"/>
          <w:sz w:val="20"/>
          <w:szCs w:val="20"/>
        </w:rPr>
        <w:t xml:space="preserve">, the </w:t>
      </w:r>
      <w:r>
        <w:rPr>
          <w:rFonts w:ascii="IBMPlexSans-Regular" w:hAnsi="IBMPlexSans-Regular" w:cs="IBMPlexSans-Regular"/>
          <w:sz w:val="20"/>
          <w:szCs w:val="20"/>
        </w:rPr>
        <w:t>taxpayer made noncash charitable gifts to Goodwill, Salvation Army, and Lend-A-Hand. He attached</w:t>
      </w:r>
      <w:r>
        <w:rPr>
          <w:rFonts w:ascii="IBMPlexSans-Regular" w:hAnsi="IBMPlexSans-Regular" w:cs="IBMPlexSans-Regular"/>
          <w:sz w:val="20"/>
          <w:szCs w:val="20"/>
        </w:rPr>
        <w:t xml:space="preserve"> </w:t>
      </w:r>
      <w:r>
        <w:rPr>
          <w:rFonts w:ascii="IBMPlexSans-Regular" w:hAnsi="IBMPlexSans-Regular" w:cs="IBMPlexSans-Regular"/>
          <w:sz w:val="20"/>
          <w:szCs w:val="20"/>
        </w:rPr>
        <w:t>Form 8283 to the return claiming FMVs of $10,286, $10,060, and $10,340 respectively to each organization in</w:t>
      </w:r>
      <w:r>
        <w:rPr>
          <w:rFonts w:ascii="IBMPlexSans-Regular" w:hAnsi="IBMPlexSans-Regular" w:cs="IBMPlexSans-Regular"/>
          <w:sz w:val="20"/>
          <w:szCs w:val="20"/>
        </w:rPr>
        <w:t xml:space="preserve"> </w:t>
      </w:r>
      <w:r>
        <w:rPr>
          <w:rFonts w:ascii="IBMPlexSans-Regular" w:hAnsi="IBMPlexSans-Regular" w:cs="IBMPlexSans-Regular"/>
          <w:sz w:val="20"/>
          <w:szCs w:val="20"/>
        </w:rPr>
        <w:t xml:space="preserve">total. During the trial, the taxpayer produced 173 separate receipts, indicating that “various </w:t>
      </w:r>
      <w:proofErr w:type="gramStart"/>
      <w:r>
        <w:rPr>
          <w:rFonts w:ascii="IBMPlexSans-Regular" w:hAnsi="IBMPlexSans-Regular" w:cs="IBMPlexSans-Regular"/>
          <w:sz w:val="20"/>
          <w:szCs w:val="20"/>
        </w:rPr>
        <w:t>property</w:t>
      </w:r>
      <w:proofErr w:type="gramEnd"/>
      <w:r>
        <w:rPr>
          <w:rFonts w:ascii="IBMPlexSans-Regular" w:hAnsi="IBMPlexSans-Regular" w:cs="IBMPlexSans-Regular"/>
          <w:sz w:val="20"/>
          <w:szCs w:val="20"/>
        </w:rPr>
        <w:t>” in “good</w:t>
      </w:r>
      <w:r>
        <w:rPr>
          <w:rFonts w:ascii="IBMPlexSans-Regular" w:hAnsi="IBMPlexSans-Regular" w:cs="IBMPlexSans-Regular"/>
          <w:sz w:val="20"/>
          <w:szCs w:val="20"/>
        </w:rPr>
        <w:t xml:space="preserve"> </w:t>
      </w:r>
      <w:r>
        <w:rPr>
          <w:rFonts w:ascii="IBMPlexSans-Regular" w:hAnsi="IBMPlexSans-Regular" w:cs="IBMPlexSans-Regular"/>
          <w:sz w:val="20"/>
          <w:szCs w:val="20"/>
        </w:rPr>
        <w:t>used” condition was donated to the organizations. Each receipt purported that the gift had an FMV of less than</w:t>
      </w:r>
      <w:r>
        <w:rPr>
          <w:rFonts w:ascii="IBMPlexSans-Regular" w:hAnsi="IBMPlexSans-Regular" w:cs="IBMPlexSans-Regular"/>
          <w:sz w:val="20"/>
          <w:szCs w:val="20"/>
        </w:rPr>
        <w:t xml:space="preserve"> </w:t>
      </w:r>
      <w:r>
        <w:rPr>
          <w:rFonts w:ascii="IBMPlexSans-Regular" w:hAnsi="IBMPlexSans-Regular" w:cs="IBMPlexSans-Regular"/>
          <w:sz w:val="20"/>
          <w:szCs w:val="20"/>
        </w:rPr>
        <w:t>$250. While the taxpayer was employed, he also operated three businesses, one of them being Lend-A-Hand, a</w:t>
      </w:r>
      <w:r>
        <w:rPr>
          <w:rFonts w:ascii="IBMPlexSans-Regular" w:hAnsi="IBMPlexSans-Regular" w:cs="IBMPlexSans-Regular"/>
          <w:sz w:val="20"/>
          <w:szCs w:val="20"/>
        </w:rPr>
        <w:t xml:space="preserve"> </w:t>
      </w:r>
      <w:r>
        <w:rPr>
          <w:rFonts w:ascii="IBMPlexSans-Regular" w:hAnsi="IBMPlexSans-Regular" w:cs="IBMPlexSans-Regular"/>
          <w:sz w:val="20"/>
          <w:szCs w:val="20"/>
        </w:rPr>
        <w:t>nonprofit and used clothing store.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  <w:r>
        <w:rPr>
          <w:rFonts w:ascii="IBMPlexSans-Regular" w:hAnsi="IBMPlexSans-Regular" w:cs="IBMPlexSans-Regular"/>
          <w:sz w:val="20"/>
          <w:szCs w:val="20"/>
        </w:rPr>
        <w:t>While there was no indication the taxpayer obtained an appraisal, he did hire a tax professional to assist with the</w:t>
      </w:r>
      <w:r>
        <w:rPr>
          <w:rFonts w:ascii="IBMPlexSans-Regular" w:hAnsi="IBMPlexSans-Regular" w:cs="IBMPlexSans-Regular"/>
          <w:sz w:val="20"/>
          <w:szCs w:val="20"/>
        </w:rPr>
        <w:t xml:space="preserve"> </w:t>
      </w:r>
      <w:r>
        <w:rPr>
          <w:rFonts w:ascii="IBMPlexSans-Regular" w:hAnsi="IBMPlexSans-Regular" w:cs="IBMPlexSans-Regular"/>
          <w:sz w:val="20"/>
          <w:szCs w:val="20"/>
        </w:rPr>
        <w:t>preparation of his return, though no appraisals were attached. Consequently, the IRS audited the return and</w:t>
      </w:r>
      <w:r>
        <w:rPr>
          <w:rFonts w:ascii="IBMPlexSans-Regular" w:hAnsi="IBMPlexSans-Regular" w:cs="IBMPlexSans-Regular"/>
          <w:sz w:val="20"/>
          <w:szCs w:val="20"/>
        </w:rPr>
        <w:t xml:space="preserve"> </w:t>
      </w:r>
      <w:r>
        <w:rPr>
          <w:rFonts w:ascii="IBMPlexSans-Regular" w:hAnsi="IBMPlexSans-Regular" w:cs="IBMPlexSans-Regular"/>
          <w:sz w:val="20"/>
          <w:szCs w:val="20"/>
        </w:rPr>
        <w:t>issued a notice of deficiency.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SemiBold" w:hAnsi="IBMPlexSans-SemiBold" w:cs="IBMPlexSans-SemiBold"/>
          <w:b/>
          <w:bCs/>
        </w:rPr>
      </w:pPr>
      <w:r>
        <w:rPr>
          <w:rFonts w:ascii="IBMPlexSans-SemiBold" w:hAnsi="IBMPlexSans-SemiBold" w:cs="IBMPlexSans-SemiBold"/>
          <w:b/>
          <w:bCs/>
        </w:rPr>
        <w:t>Findings of the Court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  <w:r>
        <w:rPr>
          <w:rFonts w:ascii="IBMPlexSans-Regular" w:hAnsi="IBMPlexSans-Regular" w:cs="IBMPlexSans-Regular"/>
          <w:sz w:val="20"/>
          <w:szCs w:val="20"/>
        </w:rPr>
        <w:t>Gifts to charity are deductible under IRC Sec. 170(a</w:t>
      </w:r>
      <w:proofErr w:type="gramStart"/>
      <w:r>
        <w:rPr>
          <w:rFonts w:ascii="IBMPlexSans-Regular" w:hAnsi="IBMPlexSans-Regular" w:cs="IBMPlexSans-Regular"/>
          <w:sz w:val="20"/>
          <w:szCs w:val="20"/>
        </w:rPr>
        <w:t>)(</w:t>
      </w:r>
      <w:proofErr w:type="gramEnd"/>
      <w:r>
        <w:rPr>
          <w:rFonts w:ascii="IBMPlexSans-Regular" w:hAnsi="IBMPlexSans-Regular" w:cs="IBMPlexSans-Regular"/>
          <w:sz w:val="20"/>
          <w:szCs w:val="20"/>
        </w:rPr>
        <w:t>1). However, the deduction must comply with Reg. 1.170A-13 requirements. Those contributions that are valued at less than $250 do not require a receipt if it is</w:t>
      </w:r>
      <w:r>
        <w:rPr>
          <w:rFonts w:ascii="IBMPlexSans-Regular" w:hAnsi="IBMPlexSans-Regular" w:cs="IBMPlexSans-Regular"/>
          <w:sz w:val="20"/>
          <w:szCs w:val="20"/>
        </w:rPr>
        <w:t xml:space="preserve"> </w:t>
      </w:r>
      <w:r>
        <w:rPr>
          <w:rFonts w:ascii="IBMPlexSans-Regular" w:hAnsi="IBMPlexSans-Regular" w:cs="IBMPlexSans-Regular"/>
          <w:sz w:val="20"/>
          <w:szCs w:val="20"/>
        </w:rPr>
        <w:t>“inconvenient” for the taxpayer to obtain a receipt. A contribution of $250 or more requires a contemporaneous</w:t>
      </w:r>
      <w:r>
        <w:rPr>
          <w:rFonts w:ascii="IBMPlexSans-Regular" w:hAnsi="IBMPlexSans-Regular" w:cs="IBMPlexSans-Regular"/>
          <w:sz w:val="20"/>
          <w:szCs w:val="20"/>
        </w:rPr>
        <w:t xml:space="preserve"> </w:t>
      </w:r>
      <w:r>
        <w:rPr>
          <w:rFonts w:ascii="IBMPlexSans-Regular" w:hAnsi="IBMPlexSans-Regular" w:cs="IBMPlexSans-Regular"/>
          <w:sz w:val="20"/>
          <w:szCs w:val="20"/>
        </w:rPr>
        <w:t>written acknowledgment. Noncash contributions over $500 must include a description of the property contributed</w:t>
      </w:r>
      <w:r>
        <w:rPr>
          <w:rFonts w:ascii="IBMPlexSans-Regular" w:hAnsi="IBMPlexSans-Regular" w:cs="IBMPlexSans-Regular"/>
          <w:sz w:val="20"/>
          <w:szCs w:val="20"/>
        </w:rPr>
        <w:t xml:space="preserve"> </w:t>
      </w:r>
      <w:r>
        <w:rPr>
          <w:rFonts w:ascii="IBMPlexSans-Regular" w:hAnsi="IBMPlexSans-Regular" w:cs="IBMPlexSans-Regular"/>
          <w:sz w:val="20"/>
          <w:szCs w:val="20"/>
        </w:rPr>
        <w:t>and the taxpayer must maintain appropriate records to document the transaction, Reg. 1.170A-13(b)(3)(</w:t>
      </w:r>
      <w:proofErr w:type="spellStart"/>
      <w:r>
        <w:rPr>
          <w:rFonts w:ascii="IBMPlexSans-Regular" w:hAnsi="IBMPlexSans-Regular" w:cs="IBMPlexSans-Regular"/>
          <w:sz w:val="20"/>
          <w:szCs w:val="20"/>
        </w:rPr>
        <w:t>i</w:t>
      </w:r>
      <w:proofErr w:type="spellEnd"/>
      <w:r>
        <w:rPr>
          <w:rFonts w:ascii="IBMPlexSans-Regular" w:hAnsi="IBMPlexSans-Regular" w:cs="IBMPlexSans-Regular"/>
          <w:sz w:val="20"/>
          <w:szCs w:val="20"/>
        </w:rPr>
        <w:t>). If the</w:t>
      </w:r>
      <w:r>
        <w:rPr>
          <w:rFonts w:ascii="IBMPlexSans-Regular" w:hAnsi="IBMPlexSans-Regular" w:cs="IBMPlexSans-Regular"/>
          <w:sz w:val="20"/>
          <w:szCs w:val="20"/>
        </w:rPr>
        <w:t xml:space="preserve"> </w:t>
      </w:r>
      <w:r>
        <w:rPr>
          <w:rFonts w:ascii="IBMPlexSans-Regular" w:hAnsi="IBMPlexSans-Regular" w:cs="IBMPlexSans-Regular"/>
          <w:sz w:val="20"/>
          <w:szCs w:val="20"/>
        </w:rPr>
        <w:t>noncash charitable contribution exceeds $5,000, the taxpayer must obtain a qualified appraisal, attach the IRS</w:t>
      </w:r>
      <w:r>
        <w:rPr>
          <w:rFonts w:ascii="IBMPlexSans-Regular" w:hAnsi="IBMPlexSans-Regular" w:cs="IBMPlexSans-Regular"/>
          <w:sz w:val="20"/>
          <w:szCs w:val="20"/>
        </w:rPr>
        <w:t xml:space="preserve"> </w:t>
      </w:r>
      <w:r>
        <w:rPr>
          <w:rFonts w:ascii="IBMPlexSans-Regular" w:hAnsi="IBMPlexSans-Regular" w:cs="IBMPlexSans-Regular"/>
          <w:sz w:val="20"/>
          <w:szCs w:val="20"/>
        </w:rPr>
        <w:t>Form 8283 appraisal summary to the income tax return, and maintain records to document the appraised value</w:t>
      </w:r>
      <w:r>
        <w:rPr>
          <w:rFonts w:ascii="IBMPlexSans-Regular" w:hAnsi="IBMPlexSans-Regular" w:cs="IBMPlexSans-Regular"/>
          <w:sz w:val="20"/>
          <w:szCs w:val="20"/>
        </w:rPr>
        <w:t xml:space="preserve"> </w:t>
      </w:r>
      <w:r>
        <w:rPr>
          <w:rFonts w:ascii="IBMPlexSans-Regular" w:hAnsi="IBMPlexSans-Regular" w:cs="IBMPlexSans-Regular"/>
          <w:sz w:val="20"/>
          <w:szCs w:val="20"/>
        </w:rPr>
        <w:t xml:space="preserve">of the gift [Reg. §1.170A-13(b)(2)]. When there are similar items of property, they are aggregated for </w:t>
      </w:r>
      <w:r>
        <w:rPr>
          <w:rFonts w:ascii="IBMPlexSans-Regular" w:hAnsi="IBMPlexSans-Regular" w:cs="IBMPlexSans-Regular"/>
          <w:sz w:val="20"/>
          <w:szCs w:val="20"/>
        </w:rPr>
        <w:t xml:space="preserve">purposes </w:t>
      </w:r>
      <w:r>
        <w:rPr>
          <w:rFonts w:ascii="IBMPlexSans-Regular" w:hAnsi="IBMPlexSans-Regular" w:cs="IBMPlexSans-Regular"/>
          <w:sz w:val="20"/>
          <w:szCs w:val="20"/>
        </w:rPr>
        <w:t>determination of the appraisal requirements [Reg. §1.170A-13(c</w:t>
      </w:r>
      <w:proofErr w:type="gramStart"/>
      <w:r>
        <w:rPr>
          <w:rFonts w:ascii="IBMPlexSans-Regular" w:hAnsi="IBMPlexSans-Regular" w:cs="IBMPlexSans-Regular"/>
          <w:sz w:val="20"/>
          <w:szCs w:val="20"/>
        </w:rPr>
        <w:t>)(</w:t>
      </w:r>
      <w:proofErr w:type="gramEnd"/>
      <w:r>
        <w:rPr>
          <w:rFonts w:ascii="IBMPlexSans-Regular" w:hAnsi="IBMPlexSans-Regular" w:cs="IBMPlexSans-Regular"/>
          <w:sz w:val="20"/>
          <w:szCs w:val="20"/>
        </w:rPr>
        <w:t>7)(iii)]. In this case, the court was not furnished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  <w:proofErr w:type="gramStart"/>
      <w:r>
        <w:rPr>
          <w:rFonts w:ascii="IBMPlexSans-Regular" w:hAnsi="IBMPlexSans-Regular" w:cs="IBMPlexSans-Regular"/>
          <w:sz w:val="20"/>
          <w:szCs w:val="20"/>
        </w:rPr>
        <w:t>any</w:t>
      </w:r>
      <w:proofErr w:type="gramEnd"/>
      <w:r>
        <w:rPr>
          <w:rFonts w:ascii="IBMPlexSans-Regular" w:hAnsi="IBMPlexSans-Regular" w:cs="IBMPlexSans-Regular"/>
          <w:sz w:val="20"/>
          <w:szCs w:val="20"/>
        </w:rPr>
        <w:t xml:space="preserve"> documents as required by the regulations, and the court thus indicated the following: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  <w:r>
        <w:rPr>
          <w:rFonts w:ascii="IBMPlexSans-Regular" w:hAnsi="IBMPlexSans-Regular" w:cs="IBMPlexSans-Regular"/>
          <w:sz w:val="20"/>
          <w:szCs w:val="20"/>
        </w:rPr>
        <w:t xml:space="preserve">      </w:t>
      </w:r>
      <w:r>
        <w:rPr>
          <w:rFonts w:ascii="IBMPlexSans-Regular" w:hAnsi="IBMPlexSans-Regular" w:cs="IBMPlexSans-Regular"/>
          <w:sz w:val="20"/>
          <w:szCs w:val="20"/>
        </w:rPr>
        <w:t>[T]</w:t>
      </w:r>
      <w:proofErr w:type="spellStart"/>
      <w:r>
        <w:rPr>
          <w:rFonts w:ascii="IBMPlexSans-Regular" w:hAnsi="IBMPlexSans-Regular" w:cs="IBMPlexSans-Regular"/>
          <w:sz w:val="20"/>
          <w:szCs w:val="20"/>
        </w:rPr>
        <w:t>ax</w:t>
      </w:r>
      <w:proofErr w:type="spellEnd"/>
      <w:r>
        <w:rPr>
          <w:rFonts w:ascii="IBMPlexSans-Regular" w:hAnsi="IBMPlexSans-Regular" w:cs="IBMPlexSans-Regular"/>
          <w:sz w:val="20"/>
          <w:szCs w:val="20"/>
        </w:rPr>
        <w:t xml:space="preserve"> deductions are a matter of legislative grace [</w:t>
      </w:r>
      <w:proofErr w:type="spellStart"/>
      <w:r>
        <w:rPr>
          <w:rFonts w:ascii="IBMPlexSans-Italic" w:hAnsi="IBMPlexSans-Italic" w:cs="IBMPlexSans-Italic"/>
          <w:i/>
          <w:iCs/>
          <w:sz w:val="20"/>
          <w:szCs w:val="20"/>
        </w:rPr>
        <w:t>Segel</w:t>
      </w:r>
      <w:proofErr w:type="spellEnd"/>
      <w:r>
        <w:rPr>
          <w:rFonts w:ascii="IBMPlexSans-Italic" w:hAnsi="IBMPlexSans-Italic" w:cs="IBMPlexSans-Italic"/>
          <w:i/>
          <w:iCs/>
          <w:sz w:val="20"/>
          <w:szCs w:val="20"/>
        </w:rPr>
        <w:t xml:space="preserve"> v. Commissioner</w:t>
      </w:r>
      <w:r>
        <w:rPr>
          <w:rFonts w:ascii="IBMPlexSans-Regular" w:hAnsi="IBMPlexSans-Regular" w:cs="IBMPlexSans-Regular"/>
          <w:sz w:val="20"/>
          <w:szCs w:val="20"/>
        </w:rPr>
        <w:t>, 89 T.C. 816, 842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  <w:r>
        <w:rPr>
          <w:rFonts w:ascii="IBMPlexSans-Regular" w:hAnsi="IBMPlexSans-Regular" w:cs="IBMPlexSans-Regular"/>
          <w:sz w:val="20"/>
          <w:szCs w:val="20"/>
        </w:rPr>
        <w:t xml:space="preserve">(1987)]. </w:t>
      </w:r>
      <w:proofErr w:type="gramStart"/>
      <w:r>
        <w:rPr>
          <w:rFonts w:ascii="IBMPlexSans-Regular" w:hAnsi="IBMPlexSans-Regular" w:cs="IBMPlexSans-Regular"/>
          <w:sz w:val="20"/>
          <w:szCs w:val="20"/>
        </w:rPr>
        <w:t>The</w:t>
      </w:r>
      <w:proofErr w:type="gramEnd"/>
      <w:r>
        <w:rPr>
          <w:rFonts w:ascii="IBMPlexSans-Regular" w:hAnsi="IBMPlexSans-Regular" w:cs="IBMPlexSans-Regular"/>
          <w:sz w:val="20"/>
          <w:szCs w:val="20"/>
        </w:rPr>
        <w:t xml:space="preserve"> burden of proof so requires that the taxpayer “demonstrate that the deductions that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  <w:proofErr w:type="gramStart"/>
      <w:r>
        <w:rPr>
          <w:rFonts w:ascii="IBMPlexSans-Regular" w:hAnsi="IBMPlexSans-Regular" w:cs="IBMPlexSans-Regular"/>
          <w:sz w:val="20"/>
          <w:szCs w:val="20"/>
        </w:rPr>
        <w:t>were</w:t>
      </w:r>
      <w:proofErr w:type="gramEnd"/>
      <w:r>
        <w:rPr>
          <w:rFonts w:ascii="IBMPlexSans-Regular" w:hAnsi="IBMPlexSans-Regular" w:cs="IBMPlexSans-Regular"/>
          <w:sz w:val="20"/>
          <w:szCs w:val="20"/>
        </w:rPr>
        <w:t xml:space="preserve"> claimed are allowable based on the relevant statutory provisions and to substantiate the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  <w:proofErr w:type="gramStart"/>
      <w:r>
        <w:rPr>
          <w:rFonts w:ascii="IBMPlexSans-Regular" w:hAnsi="IBMPlexSans-Regular" w:cs="IBMPlexSans-Regular"/>
          <w:sz w:val="20"/>
          <w:szCs w:val="20"/>
        </w:rPr>
        <w:t>expenses</w:t>
      </w:r>
      <w:proofErr w:type="gramEnd"/>
      <w:r>
        <w:rPr>
          <w:rFonts w:ascii="IBMPlexSans-Regular" w:hAnsi="IBMPlexSans-Regular" w:cs="IBMPlexSans-Regular"/>
          <w:sz w:val="20"/>
          <w:szCs w:val="20"/>
        </w:rPr>
        <w:t xml:space="preserve"> that gave rise to those deductions” [</w:t>
      </w:r>
      <w:proofErr w:type="spellStart"/>
      <w:r>
        <w:rPr>
          <w:rFonts w:ascii="IBMPlexSans-Italic" w:hAnsi="IBMPlexSans-Italic" w:cs="IBMPlexSans-Italic"/>
          <w:i/>
          <w:iCs/>
          <w:sz w:val="20"/>
          <w:szCs w:val="20"/>
        </w:rPr>
        <w:t>Higbee</w:t>
      </w:r>
      <w:proofErr w:type="spellEnd"/>
      <w:r>
        <w:rPr>
          <w:rFonts w:ascii="IBMPlexSans-Italic" w:hAnsi="IBMPlexSans-Italic" w:cs="IBMPlexSans-Italic"/>
          <w:i/>
          <w:iCs/>
          <w:sz w:val="20"/>
          <w:szCs w:val="20"/>
        </w:rPr>
        <w:t xml:space="preserve"> v. Commissioner</w:t>
      </w:r>
      <w:r>
        <w:rPr>
          <w:rFonts w:ascii="IBMPlexSans-Regular" w:hAnsi="IBMPlexSans-Regular" w:cs="IBMPlexSans-Regular"/>
          <w:sz w:val="20"/>
          <w:szCs w:val="20"/>
        </w:rPr>
        <w:t>, 116 T.C. 438, 440 (2001)].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SemiBold" w:hAnsi="IBMPlexSans-SemiBold" w:cs="IBMPlexSans-SemiBold"/>
          <w:b/>
          <w:bCs/>
        </w:rPr>
      </w:pP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SemiBold" w:hAnsi="IBMPlexSans-SemiBold" w:cs="IBMPlexSans-SemiBold"/>
          <w:b/>
          <w:bCs/>
        </w:rPr>
      </w:pPr>
      <w:r>
        <w:rPr>
          <w:rFonts w:ascii="IBMPlexSans-SemiBold" w:hAnsi="IBMPlexSans-SemiBold" w:cs="IBMPlexSans-SemiBold"/>
          <w:b/>
          <w:bCs/>
        </w:rPr>
        <w:t>Lesson Learned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  <w:r>
        <w:rPr>
          <w:rFonts w:ascii="IBMPlexSans-Regular" w:hAnsi="IBMPlexSans-Regular" w:cs="IBMPlexSans-Regular"/>
          <w:sz w:val="20"/>
          <w:szCs w:val="20"/>
        </w:rPr>
        <w:t>The substantiation requirements of noncash charitable deductions are as follows: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    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     </w:t>
      </w: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IBMPlexSans-Regular" w:hAnsi="IBMPlexSans-Regular" w:cs="IBMPlexSans-Regular"/>
          <w:sz w:val="20"/>
          <w:szCs w:val="20"/>
        </w:rPr>
        <w:t xml:space="preserve">Obtaining a “qualified appraisal.” </w:t>
      </w:r>
      <w:r>
        <w:rPr>
          <w:rFonts w:ascii="IBMPlexSans-Italic" w:hAnsi="IBMPlexSans-Italic" w:cs="IBMPlexSans-Italic"/>
          <w:i/>
          <w:iCs/>
          <w:sz w:val="20"/>
          <w:szCs w:val="20"/>
        </w:rPr>
        <w:t xml:space="preserve">Qualified appraisal </w:t>
      </w:r>
      <w:r>
        <w:rPr>
          <w:rFonts w:ascii="IBMPlexSans-Regular" w:hAnsi="IBMPlexSans-Regular" w:cs="IBMPlexSans-Regular"/>
          <w:sz w:val="20"/>
          <w:szCs w:val="20"/>
        </w:rPr>
        <w:t>means an appraisal document that is prepared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  <w:proofErr w:type="gramStart"/>
      <w:r>
        <w:rPr>
          <w:rFonts w:ascii="IBMPlexSans-Regular" w:hAnsi="IBMPlexSans-Regular" w:cs="IBMPlexSans-Regular"/>
          <w:sz w:val="20"/>
          <w:szCs w:val="20"/>
        </w:rPr>
        <w:t>by</w:t>
      </w:r>
      <w:proofErr w:type="gramEnd"/>
      <w:r>
        <w:rPr>
          <w:rFonts w:ascii="IBMPlexSans-Regular" w:hAnsi="IBMPlexSans-Regular" w:cs="IBMPlexSans-Regular"/>
          <w:sz w:val="20"/>
          <w:szCs w:val="20"/>
        </w:rPr>
        <w:t xml:space="preserve"> a qualified appraiser in accordance with generally accepted appraisal standards that comply with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  <w:proofErr w:type="gramStart"/>
      <w:r>
        <w:rPr>
          <w:rFonts w:ascii="IBMPlexSans-Regular" w:hAnsi="IBMPlexSans-Regular" w:cs="IBMPlexSans-Regular"/>
          <w:sz w:val="20"/>
          <w:szCs w:val="20"/>
        </w:rPr>
        <w:t>the</w:t>
      </w:r>
      <w:proofErr w:type="gramEnd"/>
      <w:r>
        <w:rPr>
          <w:rFonts w:ascii="IBMPlexSans-Regular" w:hAnsi="IBMPlexSans-Regular" w:cs="IBMPlexSans-Regular"/>
          <w:sz w:val="20"/>
          <w:szCs w:val="20"/>
        </w:rPr>
        <w:t xml:space="preserve"> requirements of the regulation.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0"/>
          <w:szCs w:val="20"/>
        </w:rPr>
      </w:pP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0"/>
          <w:szCs w:val="20"/>
        </w:rPr>
      </w:pP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      </w:t>
      </w: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IBMPlexSans-Regular" w:hAnsi="IBMPlexSans-Regular" w:cs="IBMPlexSans-Regular"/>
          <w:sz w:val="20"/>
          <w:szCs w:val="20"/>
        </w:rPr>
        <w:t>Attach a fully completed appraisal summary to the tax return. Form 8283 provides for a consolidated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  <w:proofErr w:type="gramStart"/>
      <w:r>
        <w:rPr>
          <w:rFonts w:ascii="IBMPlexSans-Regular" w:hAnsi="IBMPlexSans-Regular" w:cs="IBMPlexSans-Regular"/>
          <w:sz w:val="20"/>
          <w:szCs w:val="20"/>
        </w:rPr>
        <w:t>statement</w:t>
      </w:r>
      <w:proofErr w:type="gramEnd"/>
      <w:r>
        <w:rPr>
          <w:rFonts w:ascii="IBMPlexSans-Regular" w:hAnsi="IBMPlexSans-Regular" w:cs="IBMPlexSans-Regular"/>
          <w:sz w:val="20"/>
          <w:szCs w:val="20"/>
        </w:rPr>
        <w:t xml:space="preserve"> that must be validated by records maintained by the taxpayer.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0"/>
          <w:szCs w:val="20"/>
        </w:rPr>
      </w:pP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 xml:space="preserve">    </w:t>
      </w:r>
      <w:bookmarkStart w:id="0" w:name="_GoBack"/>
      <w:bookmarkEnd w:id="0"/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IBMPlexSans-Regular" w:hAnsi="IBMPlexSans-Regular" w:cs="IBMPlexSans-Regular"/>
          <w:sz w:val="20"/>
          <w:szCs w:val="20"/>
        </w:rPr>
        <w:t>Maintain records containing the information required. The required information must be acquired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Regular" w:hAnsi="IBMPlexSans-Regular" w:cs="IBMPlexSans-Regular"/>
          <w:sz w:val="20"/>
          <w:szCs w:val="20"/>
        </w:rPr>
      </w:pPr>
      <w:proofErr w:type="gramStart"/>
      <w:r>
        <w:rPr>
          <w:rFonts w:ascii="IBMPlexSans-Regular" w:hAnsi="IBMPlexSans-Regular" w:cs="IBMPlexSans-Regular"/>
          <w:sz w:val="20"/>
          <w:szCs w:val="20"/>
        </w:rPr>
        <w:t>prior</w:t>
      </w:r>
      <w:proofErr w:type="gramEnd"/>
      <w:r>
        <w:rPr>
          <w:rFonts w:ascii="IBMPlexSans-Regular" w:hAnsi="IBMPlexSans-Regular" w:cs="IBMPlexSans-Regular"/>
          <w:sz w:val="20"/>
          <w:szCs w:val="20"/>
        </w:rPr>
        <w:t xml:space="preserve"> to the filing of the return. In the event the required information and statements are not acquired</w:t>
      </w:r>
    </w:p>
    <w:p w:rsidR="004E5BD3" w:rsidRDefault="004E5BD3" w:rsidP="004E5BD3">
      <w:pPr>
        <w:autoSpaceDE w:val="0"/>
        <w:autoSpaceDN w:val="0"/>
        <w:adjustRightInd w:val="0"/>
        <w:spacing w:after="0" w:line="240" w:lineRule="auto"/>
        <w:rPr>
          <w:rFonts w:ascii="IBMPlexSans-Italic" w:hAnsi="IBMPlexSans-Italic" w:cs="IBMPlexSans-Italic"/>
          <w:i/>
          <w:iCs/>
          <w:sz w:val="20"/>
          <w:szCs w:val="20"/>
        </w:rPr>
      </w:pPr>
      <w:proofErr w:type="gramStart"/>
      <w:r>
        <w:rPr>
          <w:rFonts w:ascii="IBMPlexSans-Regular" w:hAnsi="IBMPlexSans-Regular" w:cs="IBMPlexSans-Regular"/>
          <w:sz w:val="20"/>
          <w:szCs w:val="20"/>
        </w:rPr>
        <w:t>prior</w:t>
      </w:r>
      <w:proofErr w:type="gramEnd"/>
      <w:r>
        <w:rPr>
          <w:rFonts w:ascii="IBMPlexSans-Regular" w:hAnsi="IBMPlexSans-Regular" w:cs="IBMPlexSans-Regular"/>
          <w:sz w:val="20"/>
          <w:szCs w:val="20"/>
        </w:rPr>
        <w:t xml:space="preserve"> to filing, the documents are not valid [</w:t>
      </w:r>
      <w:r>
        <w:rPr>
          <w:rFonts w:ascii="IBMPlexSans-Italic" w:hAnsi="IBMPlexSans-Italic" w:cs="IBMPlexSans-Italic"/>
          <w:i/>
          <w:iCs/>
          <w:sz w:val="20"/>
          <w:szCs w:val="20"/>
        </w:rPr>
        <w:t xml:space="preserve">Oakhill Woods v. Comm. </w:t>
      </w:r>
      <w:r>
        <w:rPr>
          <w:rFonts w:ascii="IBMPlexSans-Regular" w:hAnsi="IBMPlexSans-Regular" w:cs="IBMPlexSans-Regular"/>
          <w:sz w:val="20"/>
          <w:szCs w:val="20"/>
        </w:rPr>
        <w:t xml:space="preserve">(TC Memo 2020-24); and </w:t>
      </w:r>
      <w:r>
        <w:rPr>
          <w:rFonts w:ascii="IBMPlexSans-Italic" w:hAnsi="IBMPlexSans-Italic" w:cs="IBMPlexSans-Italic"/>
          <w:i/>
          <w:iCs/>
          <w:sz w:val="20"/>
          <w:szCs w:val="20"/>
        </w:rPr>
        <w:t>Albrecht</w:t>
      </w:r>
    </w:p>
    <w:p w:rsidR="005845DF" w:rsidRDefault="004E5BD3" w:rsidP="004E5BD3">
      <w:proofErr w:type="gramStart"/>
      <w:r>
        <w:rPr>
          <w:rFonts w:ascii="IBMPlexSans-Italic" w:hAnsi="IBMPlexSans-Italic" w:cs="IBMPlexSans-Italic"/>
          <w:i/>
          <w:iCs/>
          <w:sz w:val="20"/>
          <w:szCs w:val="20"/>
        </w:rPr>
        <w:t>v</w:t>
      </w:r>
      <w:proofErr w:type="gramEnd"/>
      <w:r>
        <w:rPr>
          <w:rFonts w:ascii="IBMPlexSans-Italic" w:hAnsi="IBMPlexSans-Italic" w:cs="IBMPlexSans-Italic"/>
          <w:i/>
          <w:iCs/>
          <w:sz w:val="20"/>
          <w:szCs w:val="20"/>
        </w:rPr>
        <w:t>. Comm.</w:t>
      </w:r>
      <w:r>
        <w:rPr>
          <w:rFonts w:ascii="IBMPlexSans-Regular" w:hAnsi="IBMPlexSans-Regular" w:cs="IBMPlexSans-Regular"/>
          <w:sz w:val="20"/>
          <w:szCs w:val="20"/>
        </w:rPr>
        <w:t>, (TC Memo 2022-53)].</w:t>
      </w:r>
    </w:p>
    <w:sectPr w:rsidR="00584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PlexSans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BMPlexSans-Semi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Plex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BMPlex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D3"/>
    <w:rsid w:val="004E5BD3"/>
    <w:rsid w:val="0058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G. Brilliant</dc:creator>
  <cp:lastModifiedBy>Stephen G. Brilliant</cp:lastModifiedBy>
  <cp:revision>1</cp:revision>
  <cp:lastPrinted>2025-01-18T19:16:00Z</cp:lastPrinted>
  <dcterms:created xsi:type="dcterms:W3CDTF">2025-01-18T19:12:00Z</dcterms:created>
  <dcterms:modified xsi:type="dcterms:W3CDTF">2025-01-18T19:17:00Z</dcterms:modified>
</cp:coreProperties>
</file>